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1630 dosáhlo družstvo: KC Zlín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1590:1555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1539:1578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1555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Denisa Vávrová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Denisa Vávrová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Imamaddin Babayev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Imamaddin Babayev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Kolářová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Kolářová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Patrik Lacina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Patrik Lacina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Luděk Nekuda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1590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1555</w:t>
      </w:r>
      <w:r>
        <w:tab/>
      </w:r>
      <w:r>
        <w:t>TJ Odry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Luděk Nekuda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Dvorská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Sitta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Luděk Nekuda</w:t>
      </w:r>
    </w:p>
    <w:p w14:paraId="6F89FD26" w14:textId="77777777" w:rsidRDefault="000C39FB" w:rsidP="00A6100B">
      <w:pPr>
        <w:pStyle w:val="Zapas-zahlavi2"/>
      </w:pPr>
      <w:r>
        <w:tab/>
      </w:r>
      <w:r>
        <w:t> KK Šumperk</w:t>
      </w:r>
      <w:r>
        <w:tab/>
      </w:r>
      <w:r>
        <w:t>1539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1578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Vejmola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450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Bábík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Harca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Adam Bělaška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Petr Bábík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Matuchová </w:t>
      </w:r>
      <w:r>
        <w:t/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Tereza Vepřková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450.00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(450)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Odry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Rybník - TJ Jiskra Hylváty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Šumperk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